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4B7A0A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PCA</w:t>
      </w:r>
      <w:r w:rsidR="00A600EC">
        <w:rPr>
          <w:b/>
          <w:sz w:val="48"/>
          <w:szCs w:val="48"/>
        </w:rPr>
        <w:t xml:space="preserve"> dávkovače</w:t>
      </w:r>
    </w:p>
    <w:p w:rsidR="005A2DAC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Popis</w:t>
      </w:r>
    </w:p>
    <w:p w:rsidR="00697911" w:rsidRDefault="00596FB3" w:rsidP="005A2DAC">
      <w:pPr>
        <w:jc w:val="both"/>
      </w:pPr>
      <w:r w:rsidRPr="00596FB3">
        <w:t xml:space="preserve">Infuzní </w:t>
      </w:r>
      <w:r w:rsidR="00C457E7">
        <w:t>technika</w:t>
      </w:r>
      <w:r w:rsidRPr="00596FB3">
        <w:t xml:space="preserve"> </w:t>
      </w:r>
      <w:r w:rsidR="004B7A0A">
        <w:t xml:space="preserve">s režimem pacientem </w:t>
      </w:r>
      <w:r w:rsidR="00774509">
        <w:t>řízené analgezie</w:t>
      </w:r>
      <w:r w:rsidR="004B7A0A">
        <w:t xml:space="preserve"> (PCA)</w:t>
      </w:r>
      <w:r w:rsidR="005A2DAC" w:rsidRPr="005A2DAC">
        <w:t>.</w:t>
      </w:r>
    </w:p>
    <w:p w:rsidR="00D45DB2" w:rsidRPr="007A2980" w:rsidRDefault="00D45DB2" w:rsidP="00D45DB2">
      <w:pPr>
        <w:rPr>
          <w:sz w:val="28"/>
          <w:u w:val="single"/>
        </w:rPr>
      </w:pPr>
      <w:r>
        <w:rPr>
          <w:sz w:val="28"/>
          <w:u w:val="single"/>
        </w:rPr>
        <w:t>S</w:t>
      </w:r>
      <w:r w:rsidRPr="007A2980">
        <w:rPr>
          <w:sz w:val="28"/>
          <w:u w:val="single"/>
        </w:rPr>
        <w:t>e</w:t>
      </w:r>
      <w:r>
        <w:rPr>
          <w:sz w:val="28"/>
          <w:u w:val="single"/>
        </w:rPr>
        <w:t>znam požadovaných položek</w:t>
      </w:r>
      <w:r w:rsidRPr="007A2980">
        <w:rPr>
          <w:sz w:val="28"/>
          <w:u w:val="single"/>
        </w:rPr>
        <w:t>:</w:t>
      </w:r>
    </w:p>
    <w:p w:rsidR="00D45DB2" w:rsidRPr="00A65F1B" w:rsidRDefault="00DC3CAA" w:rsidP="00D45DB2">
      <w:pPr>
        <w:spacing w:after="0"/>
        <w:rPr>
          <w:rStyle w:val="Odkaznakoment"/>
          <w:b/>
          <w:sz w:val="22"/>
          <w:szCs w:val="22"/>
        </w:rPr>
      </w:pPr>
      <w:r>
        <w:rPr>
          <w:rStyle w:val="Odkaznakoment"/>
          <w:b/>
          <w:sz w:val="22"/>
          <w:szCs w:val="22"/>
        </w:rPr>
        <w:t xml:space="preserve"> </w:t>
      </w:r>
      <w:r w:rsidR="00D45DB2">
        <w:rPr>
          <w:rStyle w:val="Odkaznakoment"/>
          <w:b/>
          <w:sz w:val="22"/>
          <w:szCs w:val="22"/>
        </w:rPr>
        <w:t xml:space="preserve">PCA </w:t>
      </w:r>
      <w:r w:rsidR="00A600EC">
        <w:rPr>
          <w:rStyle w:val="Odkaznakoment"/>
          <w:b/>
          <w:sz w:val="22"/>
          <w:szCs w:val="22"/>
        </w:rPr>
        <w:t xml:space="preserve">dávkovač </w:t>
      </w:r>
      <w:r w:rsidR="00D45DB2">
        <w:rPr>
          <w:rStyle w:val="Odkaznakoment"/>
          <w:b/>
          <w:sz w:val="22"/>
          <w:szCs w:val="22"/>
        </w:rPr>
        <w:t>–</w:t>
      </w:r>
      <w:r w:rsidR="00E451E2">
        <w:rPr>
          <w:rStyle w:val="Odkaznakoment"/>
          <w:b/>
          <w:sz w:val="22"/>
          <w:szCs w:val="22"/>
        </w:rPr>
        <w:t xml:space="preserve">  </w:t>
      </w:r>
      <w:bookmarkStart w:id="0" w:name="_GoBack"/>
      <w:bookmarkEnd w:id="0"/>
      <w:r w:rsidR="00D45DB2">
        <w:rPr>
          <w:rStyle w:val="Odkaznakoment"/>
          <w:b/>
          <w:sz w:val="22"/>
          <w:szCs w:val="22"/>
        </w:rPr>
        <w:t xml:space="preserve">4 ks (KAPIM, Masarykova nemocnice v Ústí nad Labem, </w:t>
      </w:r>
      <w:proofErr w:type="spellStart"/>
      <w:proofErr w:type="gramStart"/>
      <w:r w:rsidR="00D45DB2">
        <w:rPr>
          <w:rStyle w:val="Odkaznakoment"/>
          <w:b/>
          <w:sz w:val="22"/>
          <w:szCs w:val="22"/>
        </w:rPr>
        <w:t>o.z</w:t>
      </w:r>
      <w:proofErr w:type="spellEnd"/>
      <w:r w:rsidR="00D45DB2">
        <w:rPr>
          <w:rStyle w:val="Odkaznakoment"/>
          <w:b/>
          <w:sz w:val="22"/>
          <w:szCs w:val="22"/>
        </w:rPr>
        <w:t>.)</w:t>
      </w:r>
      <w:proofErr w:type="gramEnd"/>
    </w:p>
    <w:p w:rsidR="00843457" w:rsidRDefault="00843457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4534" w:rsidRPr="001C4140" w:rsidRDefault="001C4140" w:rsidP="001C4140">
      <w:pPr>
        <w:spacing w:after="0"/>
        <w:rPr>
          <w:b/>
          <w:sz w:val="24"/>
        </w:rPr>
      </w:pPr>
      <w:r>
        <w:rPr>
          <w:b/>
          <w:sz w:val="24"/>
        </w:rPr>
        <w:t>Specifikace</w:t>
      </w:r>
      <w:r w:rsidR="00381C83">
        <w:rPr>
          <w:b/>
          <w:sz w:val="24"/>
        </w:rPr>
        <w:t xml:space="preserve"> - </w:t>
      </w:r>
      <w:r w:rsidR="004B7A0A">
        <w:rPr>
          <w:b/>
          <w:sz w:val="24"/>
        </w:rPr>
        <w:t xml:space="preserve">PCA </w:t>
      </w:r>
      <w:r w:rsidR="00A600EC">
        <w:rPr>
          <w:b/>
          <w:sz w:val="24"/>
        </w:rPr>
        <w:t>dávkovač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Odchylka přesnosti dávkování maximálně ± 2 %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Minimální rozsah rychlosti dávkování 0,1 – 1200 ml/h </w:t>
      </w:r>
    </w:p>
    <w:p w:rsidR="00F5358B" w:rsidRDefault="00F5358B" w:rsidP="007A4534">
      <w:pPr>
        <w:pStyle w:val="Odstavecseseznamem"/>
        <w:numPr>
          <w:ilvl w:val="0"/>
          <w:numId w:val="5"/>
        </w:numPr>
      </w:pPr>
      <w:r>
        <w:t>Dopočtení třetího parametru při zadání jakýchkoliv dvou parametrů – rychlost/objem/čas</w:t>
      </w:r>
    </w:p>
    <w:p w:rsidR="007A4534" w:rsidRPr="0015543B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Výpočet rychlosti dávky v g, mg, µg, </w:t>
      </w:r>
      <w:proofErr w:type="spellStart"/>
      <w:r w:rsidRPr="007A4534">
        <w:t>mmol</w:t>
      </w:r>
      <w:proofErr w:type="spellEnd"/>
      <w:r w:rsidRPr="007A4534">
        <w:t xml:space="preserve"> v </w:t>
      </w:r>
      <w:r w:rsidRPr="0015543B">
        <w:t>závislosti na hmotnosti pacienta/čase</w:t>
      </w:r>
    </w:p>
    <w:p w:rsidR="007A4534" w:rsidRPr="007A4534" w:rsidRDefault="000B10C5" w:rsidP="007A4534">
      <w:pPr>
        <w:pStyle w:val="Odstavecseseznamem"/>
        <w:numPr>
          <w:ilvl w:val="0"/>
          <w:numId w:val="5"/>
        </w:numPr>
      </w:pPr>
      <w:r w:rsidRPr="0015543B">
        <w:t>M</w:t>
      </w:r>
      <w:r w:rsidR="007A4534" w:rsidRPr="0015543B">
        <w:t>anuální a automatick</w:t>
      </w:r>
      <w:r w:rsidRPr="0015543B">
        <w:t>é bolusy</w:t>
      </w:r>
      <w:r w:rsidR="007A4534" w:rsidRPr="0015543B">
        <w:t xml:space="preserve"> s </w:t>
      </w:r>
      <w:r w:rsidR="00F5358B" w:rsidRPr="0015543B">
        <w:t xml:space="preserve">přednastaveným </w:t>
      </w:r>
      <w:r w:rsidRPr="0015543B">
        <w:t xml:space="preserve">objemem </w:t>
      </w:r>
      <w:r w:rsidR="007A4534" w:rsidRPr="0015543B">
        <w:t>a s možností definovat</w:t>
      </w:r>
      <w:r w:rsidR="007A4534" w:rsidRPr="007A4534">
        <w:t xml:space="preserve"> rychlost</w:t>
      </w:r>
      <w:r w:rsidR="00F5358B">
        <w:t xml:space="preserve"> v rozsahu minimálně 50–1200 ml/h </w:t>
      </w:r>
      <w:r w:rsidR="007A4534" w:rsidRPr="007A4534">
        <w:t xml:space="preserve"> </w:t>
      </w:r>
    </w:p>
    <w:p w:rsidR="000B10C5" w:rsidRDefault="007A4534" w:rsidP="007A4534">
      <w:pPr>
        <w:pStyle w:val="Odstavecseseznamem"/>
        <w:numPr>
          <w:ilvl w:val="0"/>
          <w:numId w:val="5"/>
        </w:numPr>
      </w:pPr>
      <w:r w:rsidRPr="007A4534">
        <w:t>Interní paměť přístroje alespoň 1000 léků v knihovnách obsahujících: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název a koncentraci léčiva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rychlost podávání a rychlost dávky v</w:t>
      </w:r>
      <w:r w:rsidR="000B10C5">
        <w:t>četně</w:t>
      </w:r>
      <w:r w:rsidRPr="007A4534">
        <w:t xml:space="preserve"> překročitelných a nepřekročitelných limitů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objem a rychlost podávání bolusu</w:t>
      </w:r>
    </w:p>
    <w:p w:rsidR="007A4534" w:rsidRPr="007A4534" w:rsidRDefault="00F5358B" w:rsidP="007A4534">
      <w:pPr>
        <w:pStyle w:val="Odstavecseseznamem"/>
        <w:numPr>
          <w:ilvl w:val="0"/>
          <w:numId w:val="5"/>
        </w:numPr>
      </w:pPr>
      <w:r>
        <w:t>Musí um</w:t>
      </w:r>
      <w:r w:rsidR="000B10C5" w:rsidRPr="007A4534">
        <w:t>ožn</w:t>
      </w:r>
      <w:r>
        <w:t>i</w:t>
      </w:r>
      <w:r w:rsidR="000B10C5" w:rsidRPr="007A4534">
        <w:t xml:space="preserve">t </w:t>
      </w:r>
      <w:r w:rsidR="007A4534" w:rsidRPr="007A4534">
        <w:t xml:space="preserve">editace knihovny včetně přidávání nových položek </w:t>
      </w:r>
    </w:p>
    <w:p w:rsidR="000B10C5" w:rsidRDefault="007A4534" w:rsidP="007A4534">
      <w:pPr>
        <w:pStyle w:val="Odstavecseseznamem"/>
        <w:numPr>
          <w:ilvl w:val="0"/>
          <w:numId w:val="5"/>
        </w:numPr>
      </w:pPr>
      <w:r w:rsidRPr="007A4534">
        <w:t>Zobrazitelné parametry na displeji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rychlost infuze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zbývající čas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požadovaný objem a zbývající požadovaný objem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celkový podaný objem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nastavení okluzního tlaku</w:t>
      </w:r>
    </w:p>
    <w:p w:rsidR="00B9234C" w:rsidRDefault="00F5358B" w:rsidP="00E54991">
      <w:pPr>
        <w:pStyle w:val="Odstavecseseznamem"/>
        <w:numPr>
          <w:ilvl w:val="1"/>
          <w:numId w:val="5"/>
        </w:numPr>
      </w:pPr>
      <w:r w:rsidRPr="007A4534">
        <w:t>aktuáln</w:t>
      </w:r>
      <w:r>
        <w:t>ě nastavený</w:t>
      </w:r>
      <w:r w:rsidRPr="007A4534">
        <w:t xml:space="preserve"> </w:t>
      </w:r>
      <w:r w:rsidR="007A4534" w:rsidRPr="007A4534">
        <w:t>tlak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stav baterie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název a koncentrace podávaného léčiva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 xml:space="preserve">typ a velikost jednorázové stříkačky </w:t>
      </w:r>
    </w:p>
    <w:p w:rsidR="00D461DD" w:rsidRDefault="00D461DD" w:rsidP="007A4534">
      <w:pPr>
        <w:pStyle w:val="Odstavecseseznamem"/>
        <w:numPr>
          <w:ilvl w:val="0"/>
          <w:numId w:val="5"/>
        </w:numPr>
      </w:pPr>
      <w:r>
        <w:t>Dávkovací režim</w:t>
      </w:r>
      <w:r w:rsidR="00774509">
        <w:t>y</w:t>
      </w:r>
      <w:r>
        <w:t xml:space="preserve"> PCA (pacientem řízená analgezie)</w:t>
      </w:r>
      <w:r w:rsidR="00774509">
        <w:t>:</w:t>
      </w:r>
    </w:p>
    <w:p w:rsidR="00774509" w:rsidRDefault="00774509" w:rsidP="00774509">
      <w:pPr>
        <w:pStyle w:val="Odstavecseseznamem"/>
        <w:numPr>
          <w:ilvl w:val="1"/>
          <w:numId w:val="5"/>
        </w:numPr>
      </w:pPr>
      <w:r>
        <w:t>Kontinuální infuze + pacientské bolusy</w:t>
      </w:r>
    </w:p>
    <w:p w:rsidR="00774509" w:rsidRDefault="00774509" w:rsidP="00774509">
      <w:pPr>
        <w:pStyle w:val="Odstavecseseznamem"/>
        <w:numPr>
          <w:ilvl w:val="1"/>
          <w:numId w:val="5"/>
        </w:numPr>
      </w:pPr>
      <w:r>
        <w:t>Úvodní dávka + kontinuální infuze + pacientské bolusy</w:t>
      </w:r>
    </w:p>
    <w:p w:rsidR="00774509" w:rsidRDefault="00774509" w:rsidP="00CE16CC">
      <w:pPr>
        <w:pStyle w:val="Odstavecseseznamem"/>
        <w:numPr>
          <w:ilvl w:val="1"/>
          <w:numId w:val="5"/>
        </w:numPr>
      </w:pPr>
      <w:r>
        <w:t>Pouze režim s pacientskými bolusy</w:t>
      </w:r>
    </w:p>
    <w:p w:rsidR="00774509" w:rsidRDefault="00774509" w:rsidP="007A4534">
      <w:pPr>
        <w:pStyle w:val="Odstavecseseznamem"/>
        <w:numPr>
          <w:ilvl w:val="0"/>
          <w:numId w:val="5"/>
        </w:numPr>
      </w:pPr>
      <w:r>
        <w:t>Nastavitelné parametry PCA režimů:</w:t>
      </w:r>
    </w:p>
    <w:p w:rsidR="00774509" w:rsidRDefault="00774509" w:rsidP="00774509">
      <w:pPr>
        <w:pStyle w:val="Odstavecseseznamem"/>
        <w:numPr>
          <w:ilvl w:val="1"/>
          <w:numId w:val="5"/>
        </w:numPr>
      </w:pPr>
      <w:r>
        <w:t>Definování celkového objemu pacientských bolusů</w:t>
      </w:r>
    </w:p>
    <w:p w:rsidR="00774509" w:rsidRDefault="00774509" w:rsidP="00774509">
      <w:pPr>
        <w:pStyle w:val="Odstavecseseznamem"/>
        <w:numPr>
          <w:ilvl w:val="1"/>
          <w:numId w:val="5"/>
        </w:numPr>
      </w:pPr>
      <w:r>
        <w:t>Definování celkového počtu pacientských bolusů</w:t>
      </w:r>
    </w:p>
    <w:p w:rsidR="00774509" w:rsidRDefault="00774509" w:rsidP="00774509">
      <w:pPr>
        <w:pStyle w:val="Odstavecseseznamem"/>
        <w:numPr>
          <w:ilvl w:val="1"/>
          <w:numId w:val="5"/>
        </w:numPr>
      </w:pPr>
      <w:r>
        <w:t>Definování časového intervalu mezi bolusy</w:t>
      </w:r>
    </w:p>
    <w:p w:rsidR="00774509" w:rsidRDefault="00774509" w:rsidP="00CE16CC">
      <w:pPr>
        <w:pStyle w:val="Odstavecseseznamem"/>
        <w:numPr>
          <w:ilvl w:val="1"/>
          <w:numId w:val="5"/>
        </w:numPr>
      </w:pPr>
      <w:r>
        <w:t>Definování objemu jednotlivých bolusů</w:t>
      </w:r>
    </w:p>
    <w:p w:rsidR="00D461DD" w:rsidRDefault="00D461DD" w:rsidP="007A4534">
      <w:pPr>
        <w:pStyle w:val="Odstavecseseznamem"/>
        <w:numPr>
          <w:ilvl w:val="0"/>
          <w:numId w:val="5"/>
        </w:numPr>
      </w:pPr>
      <w:r>
        <w:lastRenderedPageBreak/>
        <w:t>Pacientský ovladač pro PCA režim</w:t>
      </w:r>
    </w:p>
    <w:p w:rsidR="00D461DD" w:rsidRDefault="00D461DD" w:rsidP="007A4534">
      <w:pPr>
        <w:pStyle w:val="Odstavecseseznamem"/>
        <w:numPr>
          <w:ilvl w:val="0"/>
          <w:numId w:val="5"/>
        </w:numPr>
      </w:pPr>
      <w:r>
        <w:t>Zabezpečovací mechanizmus proti neoprávněné manipulaci s pumpou a stříkačkou s analgetikem při provozu režimu PCA</w:t>
      </w:r>
    </w:p>
    <w:p w:rsidR="00AA7FE8" w:rsidRPr="007A4534" w:rsidRDefault="00AA7FE8" w:rsidP="00AA7FE8">
      <w:pPr>
        <w:pStyle w:val="Odstavecseseznamem"/>
        <w:numPr>
          <w:ilvl w:val="0"/>
          <w:numId w:val="5"/>
        </w:numPr>
      </w:pPr>
      <w:r w:rsidRPr="007A4534">
        <w:t>Přesné dávkování malých objemů pomocí jednorázových stříkaček běžně používaných objemů</w:t>
      </w:r>
      <w:r>
        <w:t>, tj.</w:t>
      </w:r>
      <w:r w:rsidRPr="007A4534">
        <w:t xml:space="preserve"> 5, 10, 20, 30, 50</w:t>
      </w:r>
      <w:r>
        <w:t xml:space="preserve"> až </w:t>
      </w:r>
      <w:r w:rsidRPr="007A4534">
        <w:t>60 ml; min</w:t>
      </w:r>
      <w:r>
        <w:t>imálně</w:t>
      </w:r>
      <w:r w:rsidRPr="007A4534">
        <w:t xml:space="preserve"> od </w:t>
      </w:r>
      <w:r>
        <w:t>3</w:t>
      </w:r>
      <w:r w:rsidRPr="007A4534">
        <w:t xml:space="preserve"> různých výrobců a min</w:t>
      </w:r>
      <w:r>
        <w:t>imálně</w:t>
      </w:r>
      <w:r w:rsidRPr="007A4534">
        <w:t xml:space="preserve"> 20 kalibrovaných typů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Automatická detekce stříkačky a automatické zobrazení názvu a objemu stříkačky na displeji </w:t>
      </w:r>
    </w:p>
    <w:p w:rsidR="00705267" w:rsidRDefault="00705267" w:rsidP="00705267">
      <w:pPr>
        <w:pStyle w:val="Odstavecseseznamem"/>
        <w:numPr>
          <w:ilvl w:val="0"/>
          <w:numId w:val="5"/>
        </w:numPr>
      </w:pPr>
      <w:r>
        <w:t>Technické řešení přístroje zamezující podání nechtěného bolusu při zakládání stříkačky do přístroje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Kompletní ovládání a nastavování pomocí fyzických tlačítek</w:t>
      </w:r>
      <w:r w:rsidR="00484A53">
        <w:t>,</w:t>
      </w:r>
      <w:r w:rsidR="00484A53" w:rsidRPr="007A4534">
        <w:t xml:space="preserve"> </w:t>
      </w:r>
      <w:r w:rsidRPr="007A4534">
        <w:t xml:space="preserve">ovládání pomocí dotykové obrazovky není přípustné </w:t>
      </w:r>
      <w:r w:rsidR="00484A53">
        <w:t>(</w:t>
      </w:r>
      <w:r w:rsidRPr="007A4534">
        <w:t>je méně ergonomické, nezprostředkuje uživateli taktilní zpětnou vazbu a na displeji uvažovaných velikostí nedosahuje přesnosti tlačítkového ovládání, což může vést k ohrožení pacienta zejména při řešení urgentních stavů</w:t>
      </w:r>
      <w:r w:rsidR="0015543B">
        <w:t>)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Velikost displeje minimálně 20 cm</w:t>
      </w:r>
      <w:r w:rsidR="0053721D" w:rsidRPr="00E54991">
        <w:rPr>
          <w:vertAlign w:val="superscript"/>
        </w:rPr>
        <w:t>2</w:t>
      </w:r>
    </w:p>
    <w:p w:rsidR="007A4534" w:rsidRPr="007A4534" w:rsidRDefault="007A4534">
      <w:pPr>
        <w:pStyle w:val="Odstavecseseznamem"/>
        <w:numPr>
          <w:ilvl w:val="0"/>
          <w:numId w:val="5"/>
        </w:numPr>
      </w:pPr>
      <w:r w:rsidRPr="007A4534">
        <w:t>Nastavení automatického nočního režimu podsvícení displeje k redukci rušivého nežádoucího (odpadního) osvětlení pacienta na lůžku a jeho okolního prostředí Zobrazení názvu léčiva a názvu a velikost stříkaček min</w:t>
      </w:r>
      <w:r w:rsidR="00484A53">
        <w:t>imálně</w:t>
      </w:r>
      <w:r w:rsidRPr="007A4534">
        <w:t xml:space="preserve"> 20 znaků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Zablokování přístroje proti neautorizovanému ovládání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Pohotovostní </w:t>
      </w:r>
      <w:r w:rsidR="00484A53">
        <w:t>(</w:t>
      </w:r>
      <w:proofErr w:type="spellStart"/>
      <w:r w:rsidRPr="007A4534">
        <w:t>stand</w:t>
      </w:r>
      <w:proofErr w:type="spellEnd"/>
      <w:r w:rsidRPr="007A4534">
        <w:t>-by</w:t>
      </w:r>
      <w:r w:rsidR="00484A53">
        <w:t>)</w:t>
      </w:r>
      <w:r w:rsidRPr="007A4534">
        <w:t xml:space="preserve"> režim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Nastavitelný limit okluzního tlaku alespoň v</w:t>
      </w:r>
      <w:r w:rsidR="00484A53">
        <w:t>e</w:t>
      </w:r>
      <w:r w:rsidRPr="007A4534">
        <w:t> 3 úrovních citlivosti v rozsahu 75</w:t>
      </w:r>
      <w:r w:rsidR="00484A53">
        <w:t>–</w:t>
      </w:r>
      <w:r w:rsidRPr="007A4534">
        <w:t xml:space="preserve">800 </w:t>
      </w:r>
      <w:proofErr w:type="spellStart"/>
      <w:r w:rsidRPr="007A4534">
        <w:t>mmHg</w:t>
      </w:r>
      <w:proofErr w:type="spellEnd"/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Režim udržování otevřené linky (</w:t>
      </w:r>
      <w:proofErr w:type="spellStart"/>
      <w:r w:rsidRPr="007A4534">
        <w:t>keep</w:t>
      </w:r>
      <w:proofErr w:type="spellEnd"/>
      <w:r w:rsidRPr="007A4534">
        <w:t xml:space="preserve"> </w:t>
      </w:r>
      <w:proofErr w:type="spellStart"/>
      <w:r w:rsidRPr="007A4534">
        <w:t>vein</w:t>
      </w:r>
      <w:proofErr w:type="spellEnd"/>
      <w:r w:rsidRPr="007A4534">
        <w:t xml:space="preserve"> open, KVO)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Funkce uvolnění přetlaku v lince při okluzi pro prevenci nechtěného bolusu po zprůchodnění dávkovací trasy (někdy označováno jako </w:t>
      </w:r>
      <w:proofErr w:type="spellStart"/>
      <w:r w:rsidRPr="007A4534">
        <w:t>antibolus</w:t>
      </w:r>
      <w:proofErr w:type="spellEnd"/>
      <w:r w:rsidRPr="007A4534">
        <w:t xml:space="preserve"> funkce)</w:t>
      </w:r>
    </w:p>
    <w:p w:rsidR="00484A53" w:rsidRDefault="007A4534" w:rsidP="007A4534">
      <w:pPr>
        <w:pStyle w:val="Odstavecseseznamem"/>
        <w:numPr>
          <w:ilvl w:val="0"/>
          <w:numId w:val="5"/>
        </w:numPr>
      </w:pPr>
      <w:r w:rsidRPr="007A4534">
        <w:t>Napájení 230V / 50 Hz nebo z vlastního akumulátoru s kapacitou na min</w:t>
      </w:r>
      <w:r w:rsidR="00484A53">
        <w:t>imálně</w:t>
      </w:r>
      <w:r w:rsidRPr="007A4534">
        <w:t xml:space="preserve"> 6 hodin provozu</w:t>
      </w:r>
    </w:p>
    <w:p w:rsidR="007A4534" w:rsidRPr="007A4534" w:rsidRDefault="00484A53" w:rsidP="007A4534">
      <w:pPr>
        <w:pStyle w:val="Odstavecseseznamem"/>
        <w:numPr>
          <w:ilvl w:val="0"/>
          <w:numId w:val="5"/>
        </w:numPr>
      </w:pPr>
      <w:r>
        <w:t>A</w:t>
      </w:r>
      <w:r w:rsidR="007A4534" w:rsidRPr="007A4534">
        <w:t xml:space="preserve">utomatické dobíjení akumulátoru při připojení do napájecí sítě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Stupeň krytí dle ČSN EN 60529 min</w:t>
      </w:r>
      <w:r w:rsidR="00484A53">
        <w:t>imálně</w:t>
      </w:r>
      <w:r w:rsidRPr="007A4534">
        <w:t>. IPX2 chránící přístroj proti zatečení desinfekce</w:t>
      </w:r>
      <w:r w:rsidR="00484A53">
        <w:t xml:space="preserve"> nebo </w:t>
      </w:r>
      <w:r w:rsidRPr="007A4534">
        <w:t xml:space="preserve">infuze </w:t>
      </w:r>
    </w:p>
    <w:p w:rsidR="00484A53" w:rsidRDefault="007A4534" w:rsidP="007A4534">
      <w:pPr>
        <w:pStyle w:val="Odstavecseseznamem"/>
        <w:numPr>
          <w:ilvl w:val="0"/>
          <w:numId w:val="5"/>
        </w:numPr>
      </w:pPr>
      <w:r w:rsidRPr="007A4534">
        <w:t>Bezpečnostní a kontrolní funkce s akustickými a vizuálními alarmy: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vysmeknutý pohon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okluze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špatně založená stříkačka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slabá baterie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vybitá baterie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blízký konec podání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konec podání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požadovaný objem dodán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KVO je spuštěno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r w:rsidRPr="007A4534">
        <w:t>výpadek napětí</w:t>
      </w:r>
      <w:r w:rsidR="00484A53">
        <w:t xml:space="preserve"> nebo </w:t>
      </w:r>
      <w:r w:rsidR="00FD684A">
        <w:t xml:space="preserve">odpojení od </w:t>
      </w:r>
      <w:r w:rsidRPr="007A4534">
        <w:t>elektrické sítě</w:t>
      </w:r>
    </w:p>
    <w:p w:rsidR="00B9234C" w:rsidRDefault="007A4534" w:rsidP="00E54991">
      <w:pPr>
        <w:pStyle w:val="Odstavecseseznamem"/>
        <w:numPr>
          <w:ilvl w:val="1"/>
          <w:numId w:val="5"/>
        </w:numPr>
      </w:pPr>
      <w:proofErr w:type="spellStart"/>
      <w:r w:rsidRPr="007A4534">
        <w:t>recall</w:t>
      </w:r>
      <w:proofErr w:type="spellEnd"/>
      <w:r w:rsidRPr="007A4534">
        <w:t xml:space="preserve"> alarm upozorňující na nečinnost </w:t>
      </w:r>
    </w:p>
    <w:p w:rsidR="007A4534" w:rsidRPr="007A4534" w:rsidRDefault="007A4534" w:rsidP="004B7A0A">
      <w:pPr>
        <w:pStyle w:val="Odstavecseseznamem"/>
        <w:numPr>
          <w:ilvl w:val="0"/>
          <w:numId w:val="5"/>
        </w:numPr>
      </w:pPr>
      <w:r w:rsidRPr="007A4534">
        <w:t xml:space="preserve">Protokol pro 24hodinový záznam parametrů provedeného dávkování (rychlost, doba, objem, název či popis roztoku/léčiva)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>Protokol pro záznam posledních min</w:t>
      </w:r>
      <w:r w:rsidR="00484A53">
        <w:t>imálně</w:t>
      </w:r>
      <w:r w:rsidRPr="007A4534">
        <w:t xml:space="preserve"> 1500 událostí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t xml:space="preserve">Mechanismus upevnění na infuzní stojan nebo </w:t>
      </w:r>
      <w:proofErr w:type="spellStart"/>
      <w:r w:rsidRPr="007A4534">
        <w:t>eurolištu</w:t>
      </w:r>
      <w:proofErr w:type="spellEnd"/>
      <w:r w:rsidRPr="007A4534">
        <w:t xml:space="preserve"> jako součást pumpy </w:t>
      </w:r>
    </w:p>
    <w:p w:rsidR="007A4534" w:rsidRPr="007A4534" w:rsidRDefault="007A4534" w:rsidP="007A4534">
      <w:pPr>
        <w:pStyle w:val="Odstavecseseznamem"/>
        <w:numPr>
          <w:ilvl w:val="0"/>
          <w:numId w:val="5"/>
        </w:numPr>
      </w:pPr>
      <w:r w:rsidRPr="007A4534">
        <w:lastRenderedPageBreak/>
        <w:t>Hmotnost max</w:t>
      </w:r>
      <w:r w:rsidR="00484A53">
        <w:t>imálně</w:t>
      </w:r>
      <w:r w:rsidRPr="007A4534">
        <w:t xml:space="preserve"> do 2,7 kg vč</w:t>
      </w:r>
      <w:r w:rsidR="00484A53">
        <w:t>etně</w:t>
      </w:r>
      <w:r w:rsidRPr="007A4534">
        <w:t xml:space="preserve"> akumulátoru </w:t>
      </w:r>
    </w:p>
    <w:p w:rsidR="007A4534" w:rsidRDefault="004B7A0A" w:rsidP="007A4534">
      <w:pPr>
        <w:pStyle w:val="Odstavecseseznamem"/>
        <w:numPr>
          <w:ilvl w:val="0"/>
          <w:numId w:val="5"/>
        </w:numPr>
      </w:pPr>
      <w:r>
        <w:t xml:space="preserve">Musí být připojitelný do stávajících </w:t>
      </w:r>
      <w:proofErr w:type="spellStart"/>
      <w:r>
        <w:t>dokovacích</w:t>
      </w:r>
      <w:proofErr w:type="spellEnd"/>
      <w:r>
        <w:t xml:space="preserve"> stanic </w:t>
      </w:r>
      <w:proofErr w:type="spellStart"/>
      <w:r>
        <w:t>Fresenius</w:t>
      </w:r>
      <w:proofErr w:type="spellEnd"/>
      <w:r>
        <w:t xml:space="preserve"> </w:t>
      </w:r>
      <w:proofErr w:type="spellStart"/>
      <w:r>
        <w:t>Agilia</w:t>
      </w:r>
      <w:proofErr w:type="spellEnd"/>
      <w:r>
        <w:t xml:space="preserve"> Link umístěných na klinice</w:t>
      </w:r>
    </w:p>
    <w:p w:rsidR="00784B28" w:rsidRPr="007A4534" w:rsidRDefault="00784B28" w:rsidP="008D6EFA"/>
    <w:sectPr w:rsidR="00784B28" w:rsidRPr="007A4534" w:rsidSect="00540A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ABF" w:rsidRDefault="00C01ABF" w:rsidP="003F28B9">
      <w:pPr>
        <w:spacing w:after="0" w:line="240" w:lineRule="auto"/>
      </w:pPr>
      <w:r>
        <w:separator/>
      </w:r>
    </w:p>
  </w:endnote>
  <w:endnote w:type="continuationSeparator" w:id="0">
    <w:p w:rsidR="00C01ABF" w:rsidRDefault="00C01ABF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3F28B9" w:rsidRDefault="003F28B9">
            <w:pPr>
              <w:pStyle w:val="Zpat"/>
              <w:jc w:val="right"/>
            </w:pPr>
            <w:r>
              <w:t xml:space="preserve">Stránka </w:t>
            </w:r>
            <w:r w:rsidR="0053721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3721D">
              <w:rPr>
                <w:b/>
                <w:sz w:val="24"/>
                <w:szCs w:val="24"/>
              </w:rPr>
              <w:fldChar w:fldCharType="separate"/>
            </w:r>
            <w:r w:rsidR="00E451E2">
              <w:rPr>
                <w:b/>
                <w:noProof/>
              </w:rPr>
              <w:t>1</w:t>
            </w:r>
            <w:r w:rsidR="0053721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3721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3721D">
              <w:rPr>
                <w:b/>
                <w:sz w:val="24"/>
                <w:szCs w:val="24"/>
              </w:rPr>
              <w:fldChar w:fldCharType="separate"/>
            </w:r>
            <w:r w:rsidR="00E451E2">
              <w:rPr>
                <w:b/>
                <w:noProof/>
              </w:rPr>
              <w:t>3</w:t>
            </w:r>
            <w:r w:rsidR="0053721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F28B9" w:rsidRDefault="003F28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ABF" w:rsidRDefault="00C01ABF" w:rsidP="003F28B9">
      <w:pPr>
        <w:spacing w:after="0" w:line="240" w:lineRule="auto"/>
      </w:pPr>
      <w:r>
        <w:separator/>
      </w:r>
    </w:p>
  </w:footnote>
  <w:footnote w:type="continuationSeparator" w:id="0">
    <w:p w:rsidR="00C01ABF" w:rsidRDefault="00C01ABF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AE2" w:rsidRDefault="00835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F45F1"/>
    <w:multiLevelType w:val="hybridMultilevel"/>
    <w:tmpl w:val="223CA5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0ACE"/>
    <w:rsid w:val="00017DB3"/>
    <w:rsid w:val="000405BD"/>
    <w:rsid w:val="000473FF"/>
    <w:rsid w:val="000623A7"/>
    <w:rsid w:val="00064D98"/>
    <w:rsid w:val="00074A20"/>
    <w:rsid w:val="00075ED2"/>
    <w:rsid w:val="00084932"/>
    <w:rsid w:val="000B1097"/>
    <w:rsid w:val="000B10C5"/>
    <w:rsid w:val="000C0993"/>
    <w:rsid w:val="0015543B"/>
    <w:rsid w:val="00156AD3"/>
    <w:rsid w:val="001645B1"/>
    <w:rsid w:val="00165036"/>
    <w:rsid w:val="001671A8"/>
    <w:rsid w:val="00170613"/>
    <w:rsid w:val="00192ADD"/>
    <w:rsid w:val="00195995"/>
    <w:rsid w:val="001C4140"/>
    <w:rsid w:val="001E6D9F"/>
    <w:rsid w:val="001F0A63"/>
    <w:rsid w:val="00253DD1"/>
    <w:rsid w:val="002B3662"/>
    <w:rsid w:val="002E3BF9"/>
    <w:rsid w:val="00302CA6"/>
    <w:rsid w:val="00312460"/>
    <w:rsid w:val="0034678A"/>
    <w:rsid w:val="00366569"/>
    <w:rsid w:val="00381C83"/>
    <w:rsid w:val="003A1767"/>
    <w:rsid w:val="003E3689"/>
    <w:rsid w:val="003F28B9"/>
    <w:rsid w:val="003F4148"/>
    <w:rsid w:val="003F71D1"/>
    <w:rsid w:val="00413670"/>
    <w:rsid w:val="00415746"/>
    <w:rsid w:val="0042170F"/>
    <w:rsid w:val="004256F9"/>
    <w:rsid w:val="00427824"/>
    <w:rsid w:val="00437FB8"/>
    <w:rsid w:val="0044756E"/>
    <w:rsid w:val="00447FE0"/>
    <w:rsid w:val="00467234"/>
    <w:rsid w:val="00473E0F"/>
    <w:rsid w:val="00475256"/>
    <w:rsid w:val="00482236"/>
    <w:rsid w:val="00484A53"/>
    <w:rsid w:val="00491B64"/>
    <w:rsid w:val="004A14F1"/>
    <w:rsid w:val="004A2842"/>
    <w:rsid w:val="004B7A0A"/>
    <w:rsid w:val="004C2A82"/>
    <w:rsid w:val="004E5F3F"/>
    <w:rsid w:val="004E65DA"/>
    <w:rsid w:val="004E713C"/>
    <w:rsid w:val="004F4425"/>
    <w:rsid w:val="00512F05"/>
    <w:rsid w:val="00526F51"/>
    <w:rsid w:val="0053721D"/>
    <w:rsid w:val="00540AA4"/>
    <w:rsid w:val="00543C9D"/>
    <w:rsid w:val="005538D6"/>
    <w:rsid w:val="00560B86"/>
    <w:rsid w:val="00587B23"/>
    <w:rsid w:val="005921C5"/>
    <w:rsid w:val="00594FB3"/>
    <w:rsid w:val="00596FB3"/>
    <w:rsid w:val="005A2DAC"/>
    <w:rsid w:val="005B50DF"/>
    <w:rsid w:val="00697911"/>
    <w:rsid w:val="006D2B14"/>
    <w:rsid w:val="006E6561"/>
    <w:rsid w:val="006F0014"/>
    <w:rsid w:val="00705267"/>
    <w:rsid w:val="0074341B"/>
    <w:rsid w:val="0074705E"/>
    <w:rsid w:val="00752F2E"/>
    <w:rsid w:val="007560B4"/>
    <w:rsid w:val="007661EB"/>
    <w:rsid w:val="00774509"/>
    <w:rsid w:val="007751EA"/>
    <w:rsid w:val="00784B28"/>
    <w:rsid w:val="007A2980"/>
    <w:rsid w:val="007A4534"/>
    <w:rsid w:val="007A6843"/>
    <w:rsid w:val="007D66E3"/>
    <w:rsid w:val="008029B8"/>
    <w:rsid w:val="00835AE2"/>
    <w:rsid w:val="00835E5D"/>
    <w:rsid w:val="00841510"/>
    <w:rsid w:val="00843457"/>
    <w:rsid w:val="008733FC"/>
    <w:rsid w:val="00892C61"/>
    <w:rsid w:val="008C598F"/>
    <w:rsid w:val="008D6EFA"/>
    <w:rsid w:val="008E539B"/>
    <w:rsid w:val="00914C8D"/>
    <w:rsid w:val="00952389"/>
    <w:rsid w:val="0095473A"/>
    <w:rsid w:val="00983DB4"/>
    <w:rsid w:val="00983DE0"/>
    <w:rsid w:val="009C6313"/>
    <w:rsid w:val="009D6AD8"/>
    <w:rsid w:val="009F38D1"/>
    <w:rsid w:val="00A0308A"/>
    <w:rsid w:val="00A04DFC"/>
    <w:rsid w:val="00A156AA"/>
    <w:rsid w:val="00A25D6B"/>
    <w:rsid w:val="00A37092"/>
    <w:rsid w:val="00A43CB2"/>
    <w:rsid w:val="00A52C32"/>
    <w:rsid w:val="00A548A0"/>
    <w:rsid w:val="00A600EC"/>
    <w:rsid w:val="00A621C9"/>
    <w:rsid w:val="00A65F1B"/>
    <w:rsid w:val="00A7254D"/>
    <w:rsid w:val="00A8010A"/>
    <w:rsid w:val="00A83B82"/>
    <w:rsid w:val="00A83E2E"/>
    <w:rsid w:val="00AA1E4E"/>
    <w:rsid w:val="00AA7FE8"/>
    <w:rsid w:val="00AB0A90"/>
    <w:rsid w:val="00AD5DB0"/>
    <w:rsid w:val="00AE2AF9"/>
    <w:rsid w:val="00B12563"/>
    <w:rsid w:val="00B1722A"/>
    <w:rsid w:val="00B34A31"/>
    <w:rsid w:val="00B9234C"/>
    <w:rsid w:val="00BB0226"/>
    <w:rsid w:val="00BC21BE"/>
    <w:rsid w:val="00BF2EF9"/>
    <w:rsid w:val="00C01ABF"/>
    <w:rsid w:val="00C21068"/>
    <w:rsid w:val="00C2526E"/>
    <w:rsid w:val="00C26B33"/>
    <w:rsid w:val="00C422C2"/>
    <w:rsid w:val="00C457E7"/>
    <w:rsid w:val="00C7001A"/>
    <w:rsid w:val="00C77E3D"/>
    <w:rsid w:val="00CC4CDA"/>
    <w:rsid w:val="00CE16CC"/>
    <w:rsid w:val="00CF2A24"/>
    <w:rsid w:val="00D0486F"/>
    <w:rsid w:val="00D17B2A"/>
    <w:rsid w:val="00D45DB2"/>
    <w:rsid w:val="00D461DD"/>
    <w:rsid w:val="00D46F46"/>
    <w:rsid w:val="00D60389"/>
    <w:rsid w:val="00D73940"/>
    <w:rsid w:val="00DC3CAA"/>
    <w:rsid w:val="00E03309"/>
    <w:rsid w:val="00E43464"/>
    <w:rsid w:val="00E451E2"/>
    <w:rsid w:val="00E54991"/>
    <w:rsid w:val="00E73FB4"/>
    <w:rsid w:val="00E7422B"/>
    <w:rsid w:val="00F5358B"/>
    <w:rsid w:val="00FB2201"/>
    <w:rsid w:val="00FD684A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FCC28D"/>
  <w15:docId w15:val="{88F4B52C-6327-4E39-99D6-8D1FC216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A725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A7254D"/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075ED2"/>
    <w:pPr>
      <w:spacing w:after="0" w:line="240" w:lineRule="auto"/>
    </w:pPr>
  </w:style>
  <w:style w:type="character" w:customStyle="1" w:styleId="OdstavecseseznamemChar">
    <w:name w:val="Odstavec se seznamem Char"/>
    <w:link w:val="Odstavecseseznamem"/>
    <w:uiPriority w:val="34"/>
    <w:locked/>
    <w:rsid w:val="00C7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3F19E-7433-4586-A2F3-A461C7A7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3</cp:revision>
  <cp:lastPrinted>2019-10-09T07:03:00Z</cp:lastPrinted>
  <dcterms:created xsi:type="dcterms:W3CDTF">2019-10-25T09:27:00Z</dcterms:created>
  <dcterms:modified xsi:type="dcterms:W3CDTF">2019-10-25T09:29:00Z</dcterms:modified>
</cp:coreProperties>
</file>